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ENTENDIMENTO DA ENTIDADE E SEU AMBIENTE </w:t>
      </w:r>
    </w:p>
    <w:p w:rsidR="00000000" w:rsidDel="00000000" w:rsidP="00000000" w:rsidRDefault="00000000" w:rsidRPr="00000000" w14:paraId="00000002">
      <w:pPr>
        <w:widowControl w:val="0"/>
        <w:spacing w:before="58"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3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370"/>
        <w:gridCol w:w="6660"/>
        <w:tblGridChange w:id="0">
          <w:tblGrid>
            <w:gridCol w:w="2370"/>
            <w:gridCol w:w="6660"/>
          </w:tblGrid>
        </w:tblGridChange>
      </w:tblGrid>
      <w:tr>
        <w:trPr>
          <w:cantSplit w:val="0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03">
            <w:pPr>
              <w:widowControl w:val="0"/>
              <w:spacing w:before="58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UNIDADE JURISDICIONADA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4">
            <w:pPr>
              <w:widowControl w:val="0"/>
              <w:spacing w:before="58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05">
            <w:pPr>
              <w:widowControl w:val="0"/>
              <w:spacing w:before="58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OBJETO DA FISCALIZAÇÃO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6">
            <w:pPr>
              <w:widowControl w:val="0"/>
              <w:spacing w:before="58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7">
      <w:pPr>
        <w:widowControl w:val="0"/>
        <w:spacing w:line="240" w:lineRule="auto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57.0" w:type="dxa"/>
        <w:jc w:val="left"/>
        <w:tblInd w:w="-15.0" w:type="dxa"/>
        <w:tblBorders>
          <w:top w:color="cc4125" w:space="0" w:sz="12" w:val="single"/>
          <w:left w:color="cc4125" w:space="0" w:sz="12" w:val="single"/>
          <w:bottom w:color="cc4125" w:space="0" w:sz="12" w:val="single"/>
          <w:right w:color="cc4125" w:space="0" w:sz="12" w:val="single"/>
        </w:tblBorders>
        <w:tblLayout w:type="fixed"/>
        <w:tblLook w:val="0600"/>
      </w:tblPr>
      <w:tblGrid>
        <w:gridCol w:w="4530"/>
        <w:gridCol w:w="4527"/>
        <w:tblGridChange w:id="0">
          <w:tblGrid>
            <w:gridCol w:w="4530"/>
            <w:gridCol w:w="4527"/>
          </w:tblGrid>
        </w:tblGridChange>
      </w:tblGrid>
      <w:tr>
        <w:trPr>
          <w:cantSplit w:val="0"/>
          <w:tblHeader w:val="1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jc w:val="center"/>
              <w:rPr>
                <w:rFonts w:ascii="Arial" w:cs="Arial" w:eastAsia="Arial" w:hAnsi="Arial"/>
                <w:b w:val="1"/>
                <w:color w:val="1c4587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1c4587"/>
                <w:sz w:val="20"/>
                <w:szCs w:val="20"/>
                <w:rtl w:val="0"/>
              </w:rPr>
              <w:t xml:space="preserve">Questões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jc w:val="center"/>
              <w:rPr>
                <w:rFonts w:ascii="Arial" w:cs="Arial" w:eastAsia="Arial" w:hAnsi="Arial"/>
                <w:b w:val="1"/>
                <w:color w:val="1c4587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1c4587"/>
                <w:sz w:val="20"/>
                <w:szCs w:val="20"/>
                <w:rtl w:val="0"/>
              </w:rPr>
              <w:t xml:space="preserve">Descrição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Panorama do jurisdicionado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numPr>
                <w:ilvl w:val="0"/>
                <w:numId w:val="1"/>
              </w:numPr>
              <w:spacing w:line="240" w:lineRule="auto"/>
              <w:ind w:left="283" w:hanging="283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Legislação que regulamenta a entidade (marco regulatório)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widowControl w:val="0"/>
              <w:numPr>
                <w:ilvl w:val="0"/>
                <w:numId w:val="1"/>
              </w:numPr>
              <w:spacing w:line="240" w:lineRule="auto"/>
              <w:ind w:left="283" w:hanging="283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Missão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widowControl w:val="0"/>
              <w:numPr>
                <w:ilvl w:val="0"/>
                <w:numId w:val="1"/>
              </w:numPr>
              <w:spacing w:line="240" w:lineRule="auto"/>
              <w:ind w:left="283" w:hanging="283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Visão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widowControl w:val="0"/>
              <w:numPr>
                <w:ilvl w:val="0"/>
                <w:numId w:val="1"/>
              </w:numPr>
              <w:spacing w:line="240" w:lineRule="auto"/>
              <w:ind w:left="283" w:hanging="283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Valores fundamentais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widowControl w:val="0"/>
              <w:numPr>
                <w:ilvl w:val="0"/>
                <w:numId w:val="1"/>
              </w:numPr>
              <w:spacing w:line="240" w:lineRule="auto"/>
              <w:ind w:left="283" w:hanging="283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Competências e atribuições da entidade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ind w:left="720" w:hanging="360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Organização, objetivos e estratégias do jurisdicionado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widowControl w:val="0"/>
              <w:numPr>
                <w:ilvl w:val="0"/>
                <w:numId w:val="1"/>
              </w:numPr>
              <w:spacing w:line="240" w:lineRule="auto"/>
              <w:ind w:left="283" w:hanging="283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Objetivos da entidade (estratégicos e de negócios)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numPr>
                <w:ilvl w:val="0"/>
                <w:numId w:val="1"/>
              </w:numPr>
              <w:spacing w:line="240" w:lineRule="auto"/>
              <w:ind w:left="283" w:hanging="283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Principais políticas e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estratégias para atingir os objetivos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widowControl w:val="0"/>
              <w:numPr>
                <w:ilvl w:val="0"/>
                <w:numId w:val="1"/>
              </w:numPr>
              <w:spacing w:line="240" w:lineRule="auto"/>
              <w:ind w:left="283" w:hanging="283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Riscos relacionados aos objetivos e estratégias da entidade que possam resultar em não conformidades relevantes.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numPr>
                <w:ilvl w:val="0"/>
                <w:numId w:val="1"/>
              </w:numPr>
              <w:spacing w:line="240" w:lineRule="auto"/>
              <w:ind w:left="283" w:hanging="283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Estrutura organizacional e operacional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widowControl w:val="0"/>
              <w:numPr>
                <w:ilvl w:val="0"/>
                <w:numId w:val="1"/>
              </w:numPr>
              <w:spacing w:line="240" w:lineRule="auto"/>
              <w:ind w:left="283" w:hanging="283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Estrutura de governança da entidade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11. Macroprocessos (áreas, funções e atividades relevante para a realização dos objetivos) e seus responsáveis em todos os níveis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12. Fluxograma, mapa de processo ou diagrama de blocos das principais atividades e processos da entidade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ind w:left="22" w:firstLine="22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13.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Principais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programas, funções ou projetos administrados pela entidade (Ver Plano Plurianual - PPA e Lei Orçamentária Anual - LOA).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14.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Recursos financeiros, humanos e outros.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ind w:left="720" w:hanging="360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Medidas de desempenho do jurisdicionado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15. Como o desempenho da entidade é mensurado e revisado?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(metas, indicadores-chaves de desempenho)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bookmarkStart w:colFirst="0" w:colLast="0" w:name="_heading=h.3znysh7" w:id="0"/>
            <w:bookmarkEnd w:id="0"/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16. Existem relatórios periódicos de desempenho da entidade? (Ex. Relatórios de Gestão ou de atividades/ Relatórios Integrados ou de Sustentabilidade)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sz w:val="4"/>
          <w:szCs w:val="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995"/>
        <w:gridCol w:w="7065"/>
        <w:tblGridChange w:id="0">
          <w:tblGrid>
            <w:gridCol w:w="1995"/>
            <w:gridCol w:w="7065"/>
          </w:tblGrid>
        </w:tblGridChange>
      </w:tblGrid>
      <w:tr>
        <w:trPr>
          <w:cantSplit w:val="0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32">
            <w:pPr>
              <w:widowControl w:val="0"/>
              <w:spacing w:after="57" w:before="57"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COORDENADOR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3">
            <w:pPr>
              <w:widowControl w:val="0"/>
              <w:spacing w:after="57" w:before="57"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34">
            <w:pPr>
              <w:widowControl w:val="0"/>
              <w:spacing w:after="57" w:before="57"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EQUIPE:</w:t>
            </w:r>
          </w:p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XXXX</w:t>
            </w:r>
          </w:p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YYYY</w:t>
            </w:r>
          </w:p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ZZZZ</w:t>
            </w:r>
          </w:p>
        </w:tc>
      </w:tr>
    </w:tbl>
    <w:p w:rsidR="00000000" w:rsidDel="00000000" w:rsidP="00000000" w:rsidRDefault="00000000" w:rsidRPr="00000000" w14:paraId="00000039">
      <w:pPr>
        <w:widowControl w:val="0"/>
        <w:spacing w:after="57" w:before="57" w:line="240" w:lineRule="auto"/>
        <w:jc w:val="both"/>
        <w:rPr>
          <w:b w:val="1"/>
          <w:color w:val="1c4587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b w:val="1"/>
        </w:rPr>
      </w:pPr>
      <w:r w:rsidDel="00000000" w:rsidR="00000000" w:rsidRPr="00000000">
        <w:rPr>
          <w:b w:val="1"/>
          <w:color w:val="1c4587"/>
          <w:sz w:val="20"/>
          <w:szCs w:val="20"/>
          <w:rtl w:val="0"/>
        </w:rPr>
        <w:t xml:space="preserve">Orientações para preenchimento da matriz de entendimento da entidade e o seu ambiente</w:t>
      </w:r>
      <w:r w:rsidDel="00000000" w:rsidR="00000000" w:rsidRPr="00000000">
        <w:rPr>
          <w:rtl w:val="0"/>
        </w:rPr>
      </w:r>
    </w:p>
    <w:tbl>
      <w:tblPr>
        <w:tblStyle w:val="Table4"/>
        <w:tblW w:w="901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15"/>
        <w:gridCol w:w="7200"/>
        <w:tblGridChange w:id="0">
          <w:tblGrid>
            <w:gridCol w:w="1815"/>
            <w:gridCol w:w="7200"/>
          </w:tblGrid>
        </w:tblGridChange>
      </w:tblGrid>
      <w:tr>
        <w:trPr>
          <w:cantSplit w:val="0"/>
          <w:trHeight w:val="545" w:hRule="atLeast"/>
          <w:tblHeader w:val="0"/>
        </w:trPr>
        <w:tc>
          <w:tcPr>
            <w:tcBorders>
              <w:top w:color="6d9eeb" w:space="0" w:sz="12" w:val="single"/>
              <w:left w:color="6d9eeb" w:space="0" w:sz="12" w:val="single"/>
              <w:bottom w:color="b6d7a8" w:space="0" w:sz="8" w:val="single"/>
              <w:right w:color="b6d7a8" w:space="0" w:sz="8" w:val="single"/>
            </w:tcBorders>
            <w:shd w:fill="d9d9d9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B">
            <w:pPr>
              <w:widowControl w:val="0"/>
              <w:tabs>
                <w:tab w:val="center" w:leader="none" w:pos="4252"/>
                <w:tab w:val="right" w:leader="none" w:pos="8504"/>
              </w:tabs>
              <w:spacing w:before="58" w:lin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Objetivo do modelo do papel de trabalho</w:t>
            </w:r>
          </w:p>
        </w:tc>
        <w:tc>
          <w:tcPr>
            <w:tcBorders>
              <w:top w:color="6d9eeb" w:space="0" w:sz="12" w:val="single"/>
              <w:left w:color="b6d7a8" w:space="0" w:sz="8" w:val="single"/>
              <w:bottom w:color="b6d7a8" w:space="0" w:sz="8" w:val="single"/>
              <w:right w:color="6d9eeb" w:space="0" w:sz="12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O objetivo deste papel de trabalho é estabelecer e documentar um entendimento do jurisdicionado e seu ambiente relevante para a auditoria. A ISSAI 4000.31 exige que o auditor avalie o risco de desconformidades através do entendimento do jurisdicionado e seu ambiente.</w:t>
            </w:r>
          </w:p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(Observação: A matriz pode ser adaptada ao objeto da auditoria, e.g., para um programa, uma operação particular do jurisdicionado, um contrato ou licitação.)</w:t>
            </w:r>
          </w:p>
          <w:p w:rsidR="00000000" w:rsidDel="00000000" w:rsidP="00000000" w:rsidRDefault="00000000" w:rsidRPr="00000000" w14:paraId="0000003F">
            <w:pPr>
              <w:widowControl w:val="0"/>
              <w:tabs>
                <w:tab w:val="center" w:leader="none" w:pos="4252"/>
                <w:tab w:val="right" w:leader="none" w:pos="8504"/>
              </w:tabs>
              <w:spacing w:before="58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widowControl w:val="0"/>
              <w:tabs>
                <w:tab w:val="center" w:leader="none" w:pos="4252"/>
                <w:tab w:val="right" w:leader="none" w:pos="8504"/>
              </w:tabs>
              <w:spacing w:before="58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2" w:hRule="atLeast"/>
          <w:tblHeader w:val="0"/>
        </w:trPr>
        <w:tc>
          <w:tcPr>
            <w:tcBorders>
              <w:top w:color="b6d7a8" w:space="0" w:sz="8" w:val="single"/>
              <w:left w:color="6d9eeb" w:space="0" w:sz="12" w:val="single"/>
              <w:bottom w:color="b6d7a8" w:space="0" w:sz="8" w:val="single"/>
              <w:right w:color="b6d7a8" w:space="0" w:sz="8" w:val="single"/>
            </w:tcBorders>
            <w:shd w:fill="d9d9d9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1">
            <w:pPr>
              <w:widowControl w:val="0"/>
              <w:tabs>
                <w:tab w:val="center" w:leader="none" w:pos="4252"/>
                <w:tab w:val="right" w:leader="none" w:pos="8504"/>
              </w:tabs>
              <w:spacing w:before="58" w:lin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Requisito NBASP</w:t>
            </w:r>
          </w:p>
        </w:tc>
        <w:tc>
          <w:tcPr>
            <w:tcBorders>
              <w:top w:color="b6d7a8" w:space="0" w:sz="8" w:val="single"/>
              <w:left w:color="b6d7a8" w:space="0" w:sz="8" w:val="single"/>
              <w:bottom w:color="b6d7a8" w:space="0" w:sz="8" w:val="single"/>
              <w:right w:color="6d9eeb" w:space="0" w:sz="12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NBASP 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4000/131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b6d7a8" w:space="0" w:sz="8" w:val="single"/>
              <w:left w:color="6d9eeb" w:space="0" w:sz="12" w:val="single"/>
              <w:bottom w:color="b6d7a8" w:space="0" w:sz="8" w:val="single"/>
              <w:right w:color="b6d7a8" w:space="0" w:sz="8" w:val="single"/>
            </w:tcBorders>
            <w:shd w:fill="d9d9d9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3">
            <w:pPr>
              <w:widowControl w:val="0"/>
              <w:tabs>
                <w:tab w:val="center" w:leader="none" w:pos="4252"/>
                <w:tab w:val="right" w:leader="none" w:pos="8504"/>
              </w:tabs>
              <w:spacing w:before="58" w:lin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Guia</w:t>
            </w:r>
          </w:p>
        </w:tc>
        <w:tc>
          <w:tcPr>
            <w:tcBorders>
              <w:top w:color="b6d7a8" w:space="0" w:sz="8" w:val="single"/>
              <w:left w:color="b6d7a8" w:space="0" w:sz="8" w:val="single"/>
              <w:bottom w:color="b6d7a8" w:space="0" w:sz="8" w:val="single"/>
              <w:right w:color="6d9eeb" w:space="0" w:sz="12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O auditor precisa entender o jurisdicionado e o seu ambiente para avaliar os riscos de desconformidades nas suas operações e atividades financeiras.</w:t>
            </w:r>
          </w:p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Baseada na lista fornecida na matriz acima, o auditor consegue reunir um entendimento geral do jurisdicionado, levando em consideração ambos fatores internos e externos. O auditor deve entender os negócios/atividades essenciais do jurisdicionado. Ao documentar o entendimento do jurisdicionado e seu ambiente, o auditor precisa ter em mente os riscos relacionados ao jurisdicionado (riscos de negócio ou riscos da entidade) que possam ocorrer durante as operações deste e que possam resultar em desconformidades materiais ao jurisdicionado (papel de trabalho “Identificação e análise dos riscos”).</w:t>
            </w:r>
          </w:p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color w:val="0070c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O entendimento da entidade pode ser originado a partir de técnicas de coleta de dados, como entrevista, observação e de procedimentos analíticos. A escolha de qual procedimento utilizar e a extensão da sua aplicação depende de julgamento profissional do auditor sobre o alcance e a profundidade do entendimento necessário em cada auditoria. </w:t>
            </w:r>
          </w:p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Considere a lista de fontes documentais fornecidas na tabela abaixo como possíveis fontes para encontrar e documentar a informação necessária.</w:t>
            </w:r>
          </w:p>
          <w:p w:rsidR="00000000" w:rsidDel="00000000" w:rsidP="00000000" w:rsidRDefault="00000000" w:rsidRPr="00000000" w14:paraId="0000004C">
            <w:pPr>
              <w:widowControl w:val="0"/>
              <w:tabs>
                <w:tab w:val="center" w:leader="none" w:pos="4252"/>
                <w:tab w:val="right" w:leader="none" w:pos="8504"/>
              </w:tabs>
              <w:spacing w:line="240" w:lineRule="auto"/>
              <w:jc w:val="both"/>
              <w:rPr>
                <w:rFonts w:ascii="Arial" w:cs="Arial" w:eastAsia="Arial" w:hAnsi="Arial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3" w:hRule="atLeast"/>
          <w:tblHeader w:val="0"/>
        </w:trPr>
        <w:tc>
          <w:tcPr>
            <w:tcBorders>
              <w:top w:color="b6d7a8" w:space="0" w:sz="8" w:val="single"/>
              <w:left w:color="6d9eeb" w:space="0" w:sz="12" w:val="single"/>
              <w:bottom w:color="b6d7a8" w:space="0" w:sz="8" w:val="single"/>
              <w:right w:color="b6d7a8" w:space="0" w:sz="8" w:val="single"/>
            </w:tcBorders>
            <w:shd w:fill="d9d9d9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D">
            <w:pPr>
              <w:widowControl w:val="0"/>
              <w:tabs>
                <w:tab w:val="center" w:leader="none" w:pos="4252"/>
                <w:tab w:val="right" w:leader="none" w:pos="8504"/>
              </w:tabs>
              <w:spacing w:before="58" w:lin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Conclusão</w:t>
            </w:r>
          </w:p>
        </w:tc>
        <w:tc>
          <w:tcPr>
            <w:tcBorders>
              <w:top w:color="b6d7a8" w:space="0" w:sz="8" w:val="single"/>
              <w:left w:color="b6d7a8" w:space="0" w:sz="8" w:val="single"/>
              <w:bottom w:color="b6d7a8" w:space="0" w:sz="8" w:val="single"/>
              <w:right w:color="6d9eeb" w:space="0" w:sz="12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A equipe de auditoria deve assegurar que essa documentação esteja relacionada à avaliação dos riscos de desconformidades materiais (riscos inerentes) e à avaliação do ambiente de controle.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b6d7a8" w:space="0" w:sz="8" w:val="single"/>
              <w:left w:color="6d9eeb" w:space="0" w:sz="12" w:val="single"/>
              <w:bottom w:color="6d9eeb" w:space="0" w:sz="12" w:val="single"/>
              <w:right w:color="b6d7a8" w:space="0" w:sz="8" w:val="single"/>
            </w:tcBorders>
            <w:shd w:fill="d9d9d9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F">
            <w:pPr>
              <w:widowControl w:val="0"/>
              <w:tabs>
                <w:tab w:val="center" w:leader="none" w:pos="4252"/>
                <w:tab w:val="right" w:leader="none" w:pos="8504"/>
              </w:tabs>
              <w:spacing w:before="58" w:lin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Evidências de preparação e revisão </w:t>
            </w:r>
          </w:p>
        </w:tc>
        <w:tc>
          <w:tcPr>
            <w:tcBorders>
              <w:top w:color="b6d7a8" w:space="0" w:sz="8" w:val="single"/>
              <w:left w:color="b6d7a8" w:space="0" w:sz="8" w:val="single"/>
              <w:bottom w:color="6d9eeb" w:space="0" w:sz="12" w:val="single"/>
              <w:right w:color="6d9eeb" w:space="0" w:sz="12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As tabelas indicando os nomes das pessoas que elaboraram e documentaram o material e o nome do coordenador precisam estar completas.</w:t>
            </w:r>
          </w:p>
          <w:p w:rsidR="00000000" w:rsidDel="00000000" w:rsidP="00000000" w:rsidRDefault="00000000" w:rsidRPr="00000000" w14:paraId="00000051">
            <w:pPr>
              <w:widowControl w:val="0"/>
              <w:tabs>
                <w:tab w:val="center" w:leader="none" w:pos="4252"/>
                <w:tab w:val="right" w:leader="none" w:pos="8504"/>
              </w:tabs>
              <w:spacing w:before="58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2">
      <w:pPr>
        <w:widowControl w:val="0"/>
        <w:tabs>
          <w:tab w:val="center" w:leader="none" w:pos="4252"/>
          <w:tab w:val="right" w:leader="none" w:pos="8504"/>
        </w:tabs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>
          <w:b w:val="1"/>
          <w:color w:val="1f497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b w:val="1"/>
          <w:color w:val="1f497d"/>
          <w:rtl w:val="0"/>
        </w:rPr>
        <w:t xml:space="preserve">Fontes potenciais de documentos para entender a entidade:</w:t>
      </w:r>
      <w:r w:rsidDel="00000000" w:rsidR="00000000" w:rsidRPr="00000000">
        <w:rPr>
          <w:rtl w:val="0"/>
        </w:rPr>
      </w:r>
    </w:p>
    <w:tbl>
      <w:tblPr>
        <w:tblStyle w:val="Table5"/>
        <w:tblW w:w="9075.0" w:type="dxa"/>
        <w:jc w:val="left"/>
        <w:tblBorders>
          <w:top w:color="c00000" w:space="0" w:sz="12" w:val="single"/>
          <w:left w:color="c00000" w:space="0" w:sz="12" w:val="single"/>
          <w:bottom w:color="c00000" w:space="0" w:sz="12" w:val="single"/>
          <w:right w:color="c00000" w:space="0" w:sz="12" w:val="single"/>
        </w:tblBorders>
        <w:tblLayout w:type="fixed"/>
        <w:tblLook w:val="0600"/>
      </w:tblPr>
      <w:tblGrid>
        <w:gridCol w:w="855"/>
        <w:gridCol w:w="8220"/>
        <w:tblGridChange w:id="0">
          <w:tblGrid>
            <w:gridCol w:w="855"/>
            <w:gridCol w:w="8220"/>
          </w:tblGrid>
        </w:tblGridChange>
      </w:tblGrid>
      <w:tr>
        <w:trPr>
          <w:cantSplit w:val="0"/>
          <w:tblHeader w:val="1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0e0e3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55">
            <w:pPr>
              <w:widowControl w:val="0"/>
              <w:spacing w:before="0" w:line="36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nº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0e0e3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56">
            <w:pPr>
              <w:widowControl w:val="0"/>
              <w:spacing w:before="0" w:line="36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Documentos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57">
            <w:pPr>
              <w:widowControl w:val="0"/>
              <w:spacing w:before="0"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58">
            <w:pPr>
              <w:widowControl w:val="0"/>
              <w:spacing w:before="0" w:line="360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Lista de leis, regras e regulamentações que são relevantes e aplicáveis </w:t>
            </w:r>
          </w:p>
        </w:tc>
      </w:tr>
      <w:tr>
        <w:trPr>
          <w:cantSplit w:val="0"/>
          <w:trHeight w:val="290.97656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59">
            <w:pPr>
              <w:widowControl w:val="0"/>
              <w:spacing w:before="0"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5A">
            <w:pPr>
              <w:widowControl w:val="0"/>
              <w:spacing w:before="0" w:line="360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Mandatos, cargos/funções e responsabilidades da organização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5B">
            <w:pPr>
              <w:widowControl w:val="0"/>
              <w:spacing w:before="0"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5C">
            <w:pPr>
              <w:widowControl w:val="0"/>
              <w:spacing w:before="0" w:line="360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Orçamento aprovado pelo governo, projetos e ONGs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5D">
            <w:pPr>
              <w:widowControl w:val="0"/>
              <w:spacing w:before="0"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5E">
            <w:pPr>
              <w:widowControl w:val="0"/>
              <w:spacing w:before="0" w:line="360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Outras fontes de financiamento do jurisdicionado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5F">
            <w:pPr>
              <w:widowControl w:val="0"/>
              <w:spacing w:before="0"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60">
            <w:pPr>
              <w:widowControl w:val="0"/>
              <w:spacing w:before="0" w:line="360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Documento relativo ao planejamento da entidade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61">
            <w:pPr>
              <w:widowControl w:val="0"/>
              <w:spacing w:before="0"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62">
            <w:pPr>
              <w:widowControl w:val="0"/>
              <w:spacing w:before="0" w:line="360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Fluxograma, mapa de processo ou diagrama de blocos das atividades e processos da entidade.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63">
            <w:pPr>
              <w:widowControl w:val="0"/>
              <w:spacing w:before="0"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64">
            <w:pPr>
              <w:widowControl w:val="0"/>
              <w:spacing w:before="0" w:line="360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Relatório de desempenho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65">
            <w:pPr>
              <w:widowControl w:val="0"/>
              <w:spacing w:before="0"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66">
            <w:pPr>
              <w:widowControl w:val="0"/>
              <w:spacing w:before="0" w:line="360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Relatórios de auditoria passados e relatórios de auditoria interna</w:t>
            </w:r>
          </w:p>
        </w:tc>
      </w:tr>
    </w:tbl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  <w:tab/>
        <w:tab/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34" w:w="11909" w:orient="portrait"/>
      <w:pgMar w:bottom="1134" w:top="1701" w:left="1701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jc w:val="right"/>
      <w:rPr>
        <w:color w:val="000000"/>
        <w:sz w:val="16"/>
        <w:szCs w:val="16"/>
      </w:rPr>
    </w:pPr>
    <w:bookmarkStart w:colFirst="0" w:colLast="0" w:name="_heading=h.1fob9te" w:id="3"/>
    <w:bookmarkEnd w:id="3"/>
    <w:r w:rsidDel="00000000" w:rsidR="00000000" w:rsidRPr="00000000">
      <w:rPr>
        <w:color w:val="000000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8">
    <w:pPr>
      <w:tabs>
        <w:tab w:val="center" w:leader="none" w:pos="4252"/>
        <w:tab w:val="right" w:leader="none" w:pos="8504"/>
      </w:tabs>
      <w:spacing w:line="240" w:lineRule="auto"/>
      <w:rPr/>
    </w:pPr>
    <w:r w:rsidDel="00000000" w:rsidR="00000000" w:rsidRPr="00000000">
      <w:rPr>
        <w:rtl w:val="0"/>
      </w:rPr>
    </w:r>
  </w:p>
  <w:tbl>
    <w:tblPr>
      <w:tblStyle w:val="Table6"/>
      <w:tblW w:w="10200.0" w:type="dxa"/>
      <w:jc w:val="center"/>
      <w:tblBorders>
        <w:top w:color="000000" w:space="0" w:sz="0" w:val="nil"/>
        <w:left w:color="000000" w:space="0" w:sz="0" w:val="nil"/>
        <w:bottom w:color="000000" w:space="0" w:sz="4" w:val="single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2420"/>
      <w:gridCol w:w="7780"/>
      <w:tblGridChange w:id="0">
        <w:tblGrid>
          <w:gridCol w:w="2420"/>
          <w:gridCol w:w="7780"/>
        </w:tblGrid>
      </w:tblGridChange>
    </w:tblGrid>
    <w:tr>
      <w:trPr>
        <w:cantSplit w:val="0"/>
        <w:trHeight w:val="1418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069">
          <w:pPr>
            <w:tabs>
              <w:tab w:val="center" w:leader="none" w:pos="4252"/>
              <w:tab w:val="right" w:leader="none" w:pos="8504"/>
            </w:tabs>
            <w:jc w:val="center"/>
            <w:rPr>
              <w:rFonts w:ascii="Arial" w:cs="Arial" w:eastAsia="Arial" w:hAnsi="Arial"/>
            </w:rPr>
          </w:pPr>
          <w:bookmarkStart w:colFirst="0" w:colLast="0" w:name="_heading=h.gjdgxs" w:id="1"/>
          <w:bookmarkEnd w:id="1"/>
          <w:r w:rsidDel="00000000" w:rsidR="00000000" w:rsidRPr="00000000">
            <w:rPr/>
            <w:drawing>
              <wp:inline distB="0" distT="0" distL="0" distR="0">
                <wp:extent cx="1295400" cy="704850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7048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6A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b w:val="1"/>
              <w:sz w:val="26"/>
              <w:szCs w:val="26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6"/>
              <w:szCs w:val="26"/>
              <w:rtl w:val="0"/>
            </w:rPr>
            <w:t xml:space="preserve">Tribunal de Contas do Estado de Goiás</w:t>
          </w:r>
        </w:p>
        <w:p w:rsidR="00000000" w:rsidDel="00000000" w:rsidP="00000000" w:rsidRDefault="00000000" w:rsidRPr="00000000" w14:paraId="0000006B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sz w:val="24"/>
              <w:szCs w:val="24"/>
              <w:rtl w:val="0"/>
            </w:rPr>
            <w:t xml:space="preserve">Secretaria de Controle Externo</w:t>
          </w:r>
        </w:p>
        <w:p w:rsidR="00000000" w:rsidDel="00000000" w:rsidP="00000000" w:rsidRDefault="00000000" w:rsidRPr="00000000" w14:paraId="0000006C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color w:val="ff0000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rtl w:val="0"/>
            </w:rPr>
            <w:t xml:space="preserve">Gerência de Fiscalização de …</w:t>
          </w:r>
        </w:p>
        <w:p w:rsidR="00000000" w:rsidDel="00000000" w:rsidP="00000000" w:rsidRDefault="00000000" w:rsidRPr="00000000" w14:paraId="0000006D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rtl w:val="0"/>
            </w:rPr>
            <w:t xml:space="preserve">Serviço de Fiscalização de ..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6E">
    <w:pPr>
      <w:tabs>
        <w:tab w:val="center" w:leader="none" w:pos="4252"/>
        <w:tab w:val="right" w:leader="none" w:pos="8504"/>
      </w:tabs>
      <w:spacing w:line="24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F">
    <w:pPr>
      <w:widowControl w:val="0"/>
      <w:tabs>
        <w:tab w:val="center" w:leader="none" w:pos="4702"/>
        <w:tab w:val="right" w:leader="none" w:pos="9405"/>
      </w:tabs>
      <w:spacing w:line="240" w:lineRule="auto"/>
      <w:rPr/>
    </w:pPr>
    <w:bookmarkStart w:colFirst="0" w:colLast="0" w:name="_heading=h.30j0zll" w:id="2"/>
    <w:bookmarkEnd w:id="2"/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283" w:hanging="283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-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ontepargpadro" w:default="1">
    <w:name w:val="Default Paragraph Font"/>
    <w:uiPriority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15.0" w:type="dxa"/>
        <w:bottom w:w="100.0" w:type="dxa"/>
        <w:right w:w="115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15.0" w:type="dxa"/>
        <w:bottom w:w="100.0" w:type="dxa"/>
        <w:right w:w="115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.0" w:type="dxa"/>
        <w:left w:w="115.0" w:type="dxa"/>
        <w:bottom w:w="100.0" w:type="dxa"/>
        <w:right w:w="115.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top w:w="100.0" w:type="dxa"/>
        <w:left w:w="115.0" w:type="dxa"/>
        <w:bottom w:w="100.0" w:type="dxa"/>
        <w:right w:w="115.0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top w:w="100.0" w:type="dxa"/>
        <w:left w:w="115.0" w:type="dxa"/>
        <w:bottom w:w="100.0" w:type="dxa"/>
        <w:right w:w="115.0" w:type="dxa"/>
      </w:tblCellMar>
    </w:tblPr>
  </w:style>
  <w:style w:type="table" w:styleId="a4" w:customStyle="1">
    <w:basedOn w:val="TableNormal"/>
    <w:tblPr>
      <w:tblStyleRowBandSize w:val="1"/>
      <w:tblStyleColBandSize w:val="1"/>
      <w:tblCellMar>
        <w:top w:w="100.0" w:type="dxa"/>
        <w:left w:w="115.0" w:type="dxa"/>
        <w:bottom w:w="100.0" w:type="dxa"/>
        <w:right w:w="115.0" w:type="dxa"/>
      </w:tblCellMar>
    </w:tblPr>
  </w:style>
  <w:style w:type="table" w:styleId="a5" w:customStyle="1">
    <w:basedOn w:val="TableNormal"/>
    <w:tblPr>
      <w:tblStyleRowBandSize w:val="1"/>
      <w:tblStyleColBandSize w:val="1"/>
      <w:tblCellMar>
        <w:top w:w="100.0" w:type="dxa"/>
        <w:left w:w="115.0" w:type="dxa"/>
        <w:bottom w:w="100.0" w:type="dxa"/>
        <w:right w:w="115.0" w:type="dxa"/>
      </w:tblCellMar>
    </w:tblPr>
  </w:style>
  <w:style w:type="table" w:styleId="a6" w:customStyle="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Textodecomentrio">
    <w:name w:val="annotation text"/>
    <w:basedOn w:val="Normal"/>
    <w:link w:val="TextodecomentrioChar"/>
    <w:uiPriority w:val="99"/>
    <w:unhideWhenUsed w:val="1"/>
    <w:pPr>
      <w:spacing w:line="240" w:lineRule="auto"/>
    </w:pPr>
    <w:rPr>
      <w:sz w:val="20"/>
      <w:szCs w:val="20"/>
    </w:rPr>
  </w:style>
  <w:style w:type="character" w:styleId="TextodecomentrioChar" w:customStyle="1">
    <w:name w:val="Texto de comentário Char"/>
    <w:basedOn w:val="Fontepargpadro"/>
    <w:link w:val="Textodecomentrio"/>
    <w:uiPriority w:val="99"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 w:val="1"/>
    <w:unhideWhenUsed w:val="1"/>
    <w:rPr>
      <w:sz w:val="16"/>
      <w:szCs w:val="16"/>
    </w:rPr>
  </w:style>
  <w:style w:type="paragraph" w:styleId="Textodebalo">
    <w:name w:val="Balloon Text"/>
    <w:basedOn w:val="Normal"/>
    <w:link w:val="TextodebaloChar"/>
    <w:uiPriority w:val="99"/>
    <w:semiHidden w:val="1"/>
    <w:unhideWhenUsed w:val="1"/>
    <w:rsid w:val="00BE02F8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TextodebaloChar" w:customStyle="1">
    <w:name w:val="Texto de balão Char"/>
    <w:basedOn w:val="Fontepargpadro"/>
    <w:link w:val="Textodebalo"/>
    <w:uiPriority w:val="99"/>
    <w:semiHidden w:val="1"/>
    <w:rsid w:val="00BE02F8"/>
    <w:rPr>
      <w:rFonts w:ascii="Segoe UI" w:cs="Segoe UI" w:hAnsi="Segoe UI"/>
      <w:sz w:val="18"/>
      <w:szCs w:val="18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 w:val="1"/>
    <w:unhideWhenUsed w:val="1"/>
    <w:rsid w:val="00BE02F8"/>
    <w:rPr>
      <w:b w:val="1"/>
      <w:bCs w:val="1"/>
    </w:rPr>
  </w:style>
  <w:style w:type="character" w:styleId="AssuntodocomentrioChar" w:customStyle="1">
    <w:name w:val="Assunto do comentário Char"/>
    <w:basedOn w:val="TextodecomentrioChar"/>
    <w:link w:val="Assuntodocomentrio"/>
    <w:uiPriority w:val="99"/>
    <w:semiHidden w:val="1"/>
    <w:rsid w:val="00BE02F8"/>
    <w:rPr>
      <w:b w:val="1"/>
      <w:bCs w:val="1"/>
      <w:sz w:val="20"/>
      <w:szCs w:val="20"/>
    </w:rPr>
  </w:style>
  <w:style w:type="paragraph" w:styleId="PargrafodaLista">
    <w:name w:val="List Paragraph"/>
    <w:basedOn w:val="Normal"/>
    <w:uiPriority w:val="34"/>
    <w:qFormat w:val="1"/>
    <w:rsid w:val="00523E90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5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6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oHRE38AljME0EVKs9mptTaqgAuA==">CgMxLjAyCWguM3pueXNoNzIIaC5namRneHMyCWguMzBqMHpsbDIJaC4xZm9iOXRlOABqNQoUc3VnZ2VzdC5lNHB2aHRnZTVlbWcSHVNFUlZJTyBUVUxJTyBURUlYRUlSQSBFIFNJTFZBciExcmxQRC1faFhTNklRcklCajd6T0FKeXRWTDE5cWUzRk4=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2024-02-22T20:47:00Z</dcterms:created>
  <dc:creator>Helida de Fatima Gontijo</dc:creator>
</cp:coreProperties>
</file>